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41" w:rsidRDefault="00867D41">
      <w:pPr>
        <w:pStyle w:val="Header"/>
        <w:tabs>
          <w:tab w:val="clear" w:pos="4320"/>
          <w:tab w:val="clear" w:pos="8640"/>
        </w:tabs>
        <w:rPr>
          <w:rFonts w:ascii="Times New Roman" w:hAnsi="Times New Roman"/>
          <w:sz w:val="22"/>
          <w:szCs w:val="22"/>
        </w:rPr>
      </w:pPr>
      <w:r w:rsidRPr="008A1716">
        <w:rPr>
          <w:rFonts w:ascii="Times New Roman" w:hAnsi="Times New Roman"/>
          <w:sz w:val="22"/>
          <w:szCs w:val="22"/>
        </w:rPr>
        <w:t>June 30, 2021</w:t>
      </w:r>
    </w:p>
    <w:p w:rsidR="004435B6" w:rsidRPr="008A1716" w:rsidRDefault="004435B6">
      <w:pPr>
        <w:pStyle w:val="Header"/>
        <w:tabs>
          <w:tab w:val="clear" w:pos="4320"/>
          <w:tab w:val="clear" w:pos="8640"/>
        </w:tabs>
        <w:rPr>
          <w:rFonts w:ascii="Times New Roman" w:hAnsi="Times New Roman"/>
          <w:sz w:val="22"/>
          <w:szCs w:val="22"/>
        </w:rPr>
      </w:pPr>
    </w:p>
    <w:p w:rsidR="00867D41" w:rsidRPr="008A1716" w:rsidRDefault="00867D41">
      <w:pPr>
        <w:pStyle w:val="Header"/>
        <w:tabs>
          <w:tab w:val="clear" w:pos="4320"/>
          <w:tab w:val="clear" w:pos="8640"/>
        </w:tabs>
        <w:rPr>
          <w:rFonts w:ascii="Times New Roman" w:hAnsi="Times New Roman"/>
          <w:sz w:val="22"/>
          <w:szCs w:val="22"/>
        </w:rPr>
      </w:pPr>
      <w:r w:rsidRPr="008A1716">
        <w:rPr>
          <w:rFonts w:ascii="Times New Roman" w:hAnsi="Times New Roman"/>
          <w:sz w:val="22"/>
          <w:szCs w:val="22"/>
        </w:rPr>
        <w:t>Dear Pediatric Health Care Provider:</w:t>
      </w:r>
    </w:p>
    <w:p w:rsidR="00867D41" w:rsidRPr="008A1716" w:rsidRDefault="00867D41">
      <w:pPr>
        <w:pStyle w:val="Header"/>
        <w:tabs>
          <w:tab w:val="clear" w:pos="4320"/>
          <w:tab w:val="clear" w:pos="8640"/>
        </w:tabs>
        <w:rPr>
          <w:rFonts w:ascii="Times New Roman" w:hAnsi="Times New Roman"/>
          <w:sz w:val="22"/>
          <w:szCs w:val="22"/>
        </w:rPr>
      </w:pPr>
    </w:p>
    <w:p w:rsidR="00867D41" w:rsidRPr="008A1716" w:rsidRDefault="00867D41">
      <w:pPr>
        <w:pStyle w:val="Header"/>
        <w:tabs>
          <w:tab w:val="clear" w:pos="4320"/>
          <w:tab w:val="clear" w:pos="8640"/>
        </w:tabs>
        <w:rPr>
          <w:rFonts w:ascii="Times New Roman" w:hAnsi="Times New Roman"/>
          <w:sz w:val="22"/>
          <w:szCs w:val="22"/>
        </w:rPr>
      </w:pPr>
      <w:r w:rsidRPr="008A1716">
        <w:rPr>
          <w:rFonts w:ascii="Times New Roman" w:hAnsi="Times New Roman"/>
          <w:sz w:val="22"/>
          <w:szCs w:val="22"/>
        </w:rPr>
        <w:t xml:space="preserve">The Missouri Department of Health and Senior Services (DHSS), Perinatal Hepatitis B Prevention Program (PHBPP), is dedicated to </w:t>
      </w:r>
      <w:r w:rsidRPr="008A1716">
        <w:rPr>
          <w:rFonts w:ascii="Times New Roman" w:hAnsi="Times New Roman"/>
          <w:color w:val="000000"/>
          <w:sz w:val="22"/>
          <w:szCs w:val="22"/>
        </w:rPr>
        <w:t>supporting the goals of the Health and Human Services’ Action plan for</w:t>
      </w:r>
      <w:r w:rsidRPr="008A1716">
        <w:rPr>
          <w:rFonts w:ascii="Times New Roman" w:hAnsi="Times New Roman"/>
          <w:sz w:val="22"/>
          <w:szCs w:val="22"/>
        </w:rPr>
        <w:t xml:space="preserve"> the elimination of mother to child transmission of hepatitis B. We urge you to join our efforts to stop perinatal hepatitis B transmission by completing the hepatitis B vaccine series and performing post-vaccination serologic testing (PVST) for all infants born to HBsAg-positive women.</w:t>
      </w:r>
    </w:p>
    <w:p w:rsidR="00D222E9" w:rsidRPr="00D222E9" w:rsidRDefault="00D222E9" w:rsidP="00D222E9">
      <w:pPr>
        <w:spacing w:before="100" w:beforeAutospacing="1" w:after="100" w:afterAutospacing="1"/>
        <w:outlineLvl w:val="3"/>
        <w:rPr>
          <w:rFonts w:ascii="Times New Roman" w:hAnsi="Times New Roman"/>
          <w:b/>
          <w:bCs/>
          <w:sz w:val="22"/>
          <w:szCs w:val="22"/>
        </w:rPr>
      </w:pPr>
      <w:r w:rsidRPr="00D222E9">
        <w:rPr>
          <w:rFonts w:ascii="Times New Roman" w:hAnsi="Times New Roman"/>
          <w:b/>
          <w:bCs/>
          <w:sz w:val="22"/>
          <w:szCs w:val="22"/>
        </w:rPr>
        <w:t>Management of Infants Born to Women Who Are HBsAg-Positive</w:t>
      </w:r>
    </w:p>
    <w:p w:rsidR="00D222E9" w:rsidRPr="00D222E9" w:rsidRDefault="00D222E9" w:rsidP="00D222E9">
      <w:pPr>
        <w:numPr>
          <w:ilvl w:val="0"/>
          <w:numId w:val="1"/>
        </w:numPr>
        <w:spacing w:before="100" w:beforeAutospacing="1" w:after="100" w:afterAutospacing="1"/>
        <w:rPr>
          <w:rFonts w:ascii="Times New Roman" w:hAnsi="Times New Roman"/>
          <w:sz w:val="22"/>
          <w:szCs w:val="22"/>
        </w:rPr>
      </w:pPr>
      <w:r w:rsidRPr="00D222E9">
        <w:rPr>
          <w:rFonts w:ascii="Times New Roman" w:hAnsi="Times New Roman"/>
          <w:sz w:val="22"/>
          <w:szCs w:val="22"/>
        </w:rPr>
        <w:t xml:space="preserve">All infants born to </w:t>
      </w:r>
      <w:proofErr w:type="spellStart"/>
      <w:r w:rsidRPr="00D222E9">
        <w:rPr>
          <w:rFonts w:ascii="Times New Roman" w:hAnsi="Times New Roman"/>
          <w:sz w:val="22"/>
          <w:szCs w:val="22"/>
        </w:rPr>
        <w:t>HBsAg</w:t>
      </w:r>
      <w:proofErr w:type="spellEnd"/>
      <w:r w:rsidRPr="00D222E9">
        <w:rPr>
          <w:rFonts w:ascii="Times New Roman" w:hAnsi="Times New Roman"/>
          <w:sz w:val="22"/>
          <w:szCs w:val="22"/>
        </w:rPr>
        <w:t>-positive women should receive</w:t>
      </w:r>
      <w:r w:rsidR="004435B6">
        <w:rPr>
          <w:rFonts w:ascii="Times New Roman" w:hAnsi="Times New Roman"/>
          <w:sz w:val="22"/>
          <w:szCs w:val="22"/>
        </w:rPr>
        <w:t xml:space="preserve"> the</w:t>
      </w:r>
      <w:r w:rsidRPr="00D222E9">
        <w:rPr>
          <w:rFonts w:ascii="Times New Roman" w:hAnsi="Times New Roman"/>
          <w:sz w:val="22"/>
          <w:szCs w:val="22"/>
        </w:rPr>
        <w:t xml:space="preserve"> </w:t>
      </w:r>
      <w:proofErr w:type="spellStart"/>
      <w:r w:rsidRPr="00D222E9">
        <w:rPr>
          <w:rFonts w:ascii="Times New Roman" w:hAnsi="Times New Roman"/>
          <w:sz w:val="22"/>
          <w:szCs w:val="22"/>
        </w:rPr>
        <w:t>HepB</w:t>
      </w:r>
      <w:proofErr w:type="spellEnd"/>
      <w:r w:rsidRPr="00D222E9">
        <w:rPr>
          <w:rFonts w:ascii="Times New Roman" w:hAnsi="Times New Roman"/>
          <w:sz w:val="22"/>
          <w:szCs w:val="22"/>
        </w:rPr>
        <w:t xml:space="preserve"> vaccine and HBIG within 12 hours of birth, administered at different injection sites (e.g., separate limbs). Only single-antigen HepB vaccine should be u</w:t>
      </w:r>
      <w:r w:rsidR="00E46AE8" w:rsidRPr="008A1716">
        <w:rPr>
          <w:rFonts w:ascii="Times New Roman" w:hAnsi="Times New Roman"/>
          <w:sz w:val="22"/>
          <w:szCs w:val="22"/>
        </w:rPr>
        <w:t>sed for the birth dose.</w:t>
      </w:r>
    </w:p>
    <w:p w:rsidR="00D222E9" w:rsidRPr="00D222E9" w:rsidRDefault="00D222E9" w:rsidP="00D222E9">
      <w:pPr>
        <w:numPr>
          <w:ilvl w:val="0"/>
          <w:numId w:val="1"/>
        </w:numPr>
        <w:spacing w:before="100" w:beforeAutospacing="1" w:after="100" w:afterAutospacing="1"/>
        <w:rPr>
          <w:rFonts w:ascii="Times New Roman" w:hAnsi="Times New Roman"/>
          <w:sz w:val="22"/>
          <w:szCs w:val="22"/>
        </w:rPr>
      </w:pPr>
      <w:r w:rsidRPr="00D222E9">
        <w:rPr>
          <w:rFonts w:ascii="Times New Roman" w:hAnsi="Times New Roman"/>
          <w:sz w:val="22"/>
          <w:szCs w:val="22"/>
        </w:rPr>
        <w:t xml:space="preserve">The HepB vaccine series should be completed according to the recommended schedule for infants born to HBsAg-positive mothers. The final dose in the series should not be administered before age 24 weeks (164 days). Although not indicated in the manufacturers’ package labeling, </w:t>
      </w:r>
      <w:proofErr w:type="spellStart"/>
      <w:r w:rsidRPr="00D222E9">
        <w:rPr>
          <w:rFonts w:ascii="Times New Roman" w:hAnsi="Times New Roman"/>
          <w:sz w:val="22"/>
          <w:szCs w:val="22"/>
        </w:rPr>
        <w:t>Pediarix</w:t>
      </w:r>
      <w:proofErr w:type="spellEnd"/>
      <w:r w:rsidR="005352B2" w:rsidRPr="005352B2">
        <w:rPr>
          <w:rFonts w:ascii="Times New Roman" w:hAnsi="Times New Roman"/>
          <w:sz w:val="22"/>
          <w:szCs w:val="22"/>
          <w:vertAlign w:val="superscript"/>
        </w:rPr>
        <w:t>®</w:t>
      </w:r>
      <w:r w:rsidRPr="00D222E9">
        <w:rPr>
          <w:rFonts w:ascii="Times New Roman" w:hAnsi="Times New Roman"/>
          <w:sz w:val="22"/>
          <w:szCs w:val="22"/>
        </w:rPr>
        <w:t xml:space="preserve"> may be used for infants aged ≥6 weeks born to HBsAg-positive mothers to complete the vaccine series after receipt of a birth dose of single-antigen HepB vaccine and HBIG.</w:t>
      </w:r>
    </w:p>
    <w:p w:rsidR="00D222E9" w:rsidRPr="00D222E9" w:rsidRDefault="00D222E9" w:rsidP="00D222E9">
      <w:pPr>
        <w:numPr>
          <w:ilvl w:val="0"/>
          <w:numId w:val="1"/>
        </w:numPr>
        <w:spacing w:before="100" w:beforeAutospacing="1" w:after="100" w:afterAutospacing="1"/>
        <w:rPr>
          <w:rFonts w:ascii="Times New Roman" w:hAnsi="Times New Roman"/>
          <w:sz w:val="22"/>
          <w:szCs w:val="22"/>
        </w:rPr>
      </w:pPr>
      <w:r w:rsidRPr="00D222E9">
        <w:rPr>
          <w:rFonts w:ascii="Times New Roman" w:hAnsi="Times New Roman"/>
          <w:sz w:val="22"/>
          <w:szCs w:val="22"/>
        </w:rPr>
        <w:t xml:space="preserve">For infants weighing &lt;2,000 grams, the birth dose (i.e., the initial HepB vaccine dose) should not be counted as part of the vaccine series because of the potentially reduced immunogenicity of HepB vaccine in these infants; </w:t>
      </w:r>
      <w:r w:rsidR="004435B6">
        <w:rPr>
          <w:rFonts w:ascii="Times New Roman" w:hAnsi="Times New Roman"/>
          <w:sz w:val="22"/>
          <w:szCs w:val="22"/>
        </w:rPr>
        <w:t>three</w:t>
      </w:r>
      <w:r w:rsidRPr="00D222E9">
        <w:rPr>
          <w:rFonts w:ascii="Times New Roman" w:hAnsi="Times New Roman"/>
          <w:sz w:val="22"/>
          <w:szCs w:val="22"/>
        </w:rPr>
        <w:t xml:space="preserve"> additional doses of vaccine (for a total of 4 doses) should be administered beginning when the infant reaches age 1 month. The final dose in the series should not be administered before age 24 weeks (164 days).</w:t>
      </w:r>
    </w:p>
    <w:p w:rsidR="00D222E9" w:rsidRPr="00D222E9" w:rsidRDefault="008A1716" w:rsidP="00D222E9">
      <w:pPr>
        <w:numPr>
          <w:ilvl w:val="0"/>
          <w:numId w:val="1"/>
        </w:numPr>
        <w:spacing w:before="100" w:beforeAutospacing="1" w:after="100" w:afterAutospacing="1"/>
        <w:rPr>
          <w:rFonts w:ascii="Times New Roman" w:hAnsi="Times New Roman"/>
          <w:sz w:val="22"/>
          <w:szCs w:val="22"/>
        </w:rPr>
      </w:pPr>
      <w:r w:rsidRPr="00D222E9">
        <w:rPr>
          <w:rFonts w:ascii="Times New Roman" w:hAnsi="Times New Roman"/>
          <w:sz w:val="22"/>
          <w:szCs w:val="22"/>
        </w:rPr>
        <w:t>Post vaccin</w:t>
      </w:r>
      <w:r w:rsidRPr="008A1716">
        <w:rPr>
          <w:rFonts w:ascii="Times New Roman" w:hAnsi="Times New Roman"/>
          <w:sz w:val="22"/>
          <w:szCs w:val="22"/>
        </w:rPr>
        <w:t>ation</w:t>
      </w:r>
      <w:r w:rsidR="00E46AE8" w:rsidRPr="008A1716">
        <w:rPr>
          <w:rFonts w:ascii="Times New Roman" w:hAnsi="Times New Roman"/>
          <w:sz w:val="22"/>
          <w:szCs w:val="22"/>
        </w:rPr>
        <w:t xml:space="preserve"> serologic testing for </w:t>
      </w:r>
      <w:r w:rsidR="00D222E9" w:rsidRPr="00D222E9">
        <w:rPr>
          <w:rFonts w:ascii="Times New Roman" w:hAnsi="Times New Roman"/>
          <w:sz w:val="22"/>
          <w:szCs w:val="22"/>
        </w:rPr>
        <w:t>HBs</w:t>
      </w:r>
      <w:r w:rsidR="00E46AE8" w:rsidRPr="008A1716">
        <w:rPr>
          <w:rFonts w:ascii="Times New Roman" w:hAnsi="Times New Roman"/>
          <w:sz w:val="22"/>
          <w:szCs w:val="22"/>
        </w:rPr>
        <w:t>Ab</w:t>
      </w:r>
      <w:r w:rsidR="00D222E9" w:rsidRPr="00D222E9">
        <w:rPr>
          <w:rFonts w:ascii="Times New Roman" w:hAnsi="Times New Roman"/>
          <w:sz w:val="22"/>
          <w:szCs w:val="22"/>
        </w:rPr>
        <w:t xml:space="preserve"> and HBsAg should be performed after completion of the vaccine series at age 9–12 months (generally at the next well-child visit following completion of</w:t>
      </w:r>
      <w:r w:rsidR="00E46AE8" w:rsidRPr="008A1716">
        <w:rPr>
          <w:rFonts w:ascii="Times New Roman" w:hAnsi="Times New Roman"/>
          <w:sz w:val="22"/>
          <w:szCs w:val="22"/>
        </w:rPr>
        <w:t xml:space="preserve"> the HepB vaccine series). </w:t>
      </w:r>
      <w:r w:rsidR="00D222E9" w:rsidRPr="00D222E9">
        <w:rPr>
          <w:rFonts w:ascii="Times New Roman" w:hAnsi="Times New Roman"/>
          <w:sz w:val="22"/>
          <w:szCs w:val="22"/>
        </w:rPr>
        <w:t>HBs</w:t>
      </w:r>
      <w:r w:rsidR="00E46AE8" w:rsidRPr="008A1716">
        <w:rPr>
          <w:rFonts w:ascii="Times New Roman" w:hAnsi="Times New Roman"/>
          <w:sz w:val="22"/>
          <w:szCs w:val="22"/>
        </w:rPr>
        <w:t>Ab</w:t>
      </w:r>
      <w:r w:rsidR="00D222E9" w:rsidRPr="00D222E9">
        <w:rPr>
          <w:rFonts w:ascii="Times New Roman" w:hAnsi="Times New Roman"/>
          <w:sz w:val="22"/>
          <w:szCs w:val="22"/>
        </w:rPr>
        <w:t xml:space="preserve"> testing should be performed using a method that allows detection of the p</w:t>
      </w:r>
      <w:r w:rsidR="00E46AE8" w:rsidRPr="008A1716">
        <w:rPr>
          <w:rFonts w:ascii="Times New Roman" w:hAnsi="Times New Roman"/>
          <w:sz w:val="22"/>
          <w:szCs w:val="22"/>
        </w:rPr>
        <w:t xml:space="preserve">rotective concentration of </w:t>
      </w:r>
      <w:r w:rsidR="00D222E9" w:rsidRPr="00D222E9">
        <w:rPr>
          <w:rFonts w:ascii="Times New Roman" w:hAnsi="Times New Roman"/>
          <w:sz w:val="22"/>
          <w:szCs w:val="22"/>
        </w:rPr>
        <w:t>HBs</w:t>
      </w:r>
      <w:r w:rsidR="00E46AE8" w:rsidRPr="008A1716">
        <w:rPr>
          <w:rFonts w:ascii="Times New Roman" w:hAnsi="Times New Roman"/>
          <w:sz w:val="22"/>
          <w:szCs w:val="22"/>
        </w:rPr>
        <w:t>Ab</w:t>
      </w:r>
      <w:r w:rsidR="00D222E9" w:rsidRPr="00D222E9">
        <w:rPr>
          <w:rFonts w:ascii="Times New Roman" w:hAnsi="Times New Roman"/>
          <w:sz w:val="22"/>
          <w:szCs w:val="22"/>
        </w:rPr>
        <w:t xml:space="preserve"> </w:t>
      </w:r>
      <w:r w:rsidR="00D222E9" w:rsidRPr="00D222E9">
        <w:rPr>
          <w:rFonts w:ascii="Times New Roman" w:hAnsi="Times New Roman"/>
          <w:sz w:val="22"/>
          <w:szCs w:val="22"/>
        </w:rPr>
        <w:lastRenderedPageBreak/>
        <w:t xml:space="preserve">(≥10 mIU/mL). Testing should not be performed before age nine months to </w:t>
      </w:r>
      <w:r w:rsidR="00E46AE8" w:rsidRPr="008A1716">
        <w:rPr>
          <w:rFonts w:ascii="Times New Roman" w:hAnsi="Times New Roman"/>
          <w:sz w:val="22"/>
          <w:szCs w:val="22"/>
        </w:rPr>
        <w:t xml:space="preserve">avoid detection of passive </w:t>
      </w:r>
      <w:r w:rsidR="00D222E9" w:rsidRPr="00D222E9">
        <w:rPr>
          <w:rFonts w:ascii="Times New Roman" w:hAnsi="Times New Roman"/>
          <w:sz w:val="22"/>
          <w:szCs w:val="22"/>
        </w:rPr>
        <w:t>HBs</w:t>
      </w:r>
      <w:r w:rsidR="00E46AE8" w:rsidRPr="008A1716">
        <w:rPr>
          <w:rFonts w:ascii="Times New Roman" w:hAnsi="Times New Roman"/>
          <w:sz w:val="22"/>
          <w:szCs w:val="22"/>
        </w:rPr>
        <w:t>Ab</w:t>
      </w:r>
      <w:r w:rsidR="00D222E9" w:rsidRPr="00D222E9">
        <w:rPr>
          <w:rFonts w:ascii="Times New Roman" w:hAnsi="Times New Roman"/>
          <w:sz w:val="22"/>
          <w:szCs w:val="22"/>
        </w:rPr>
        <w:t xml:space="preserve"> from HBIG administered at birth and to maximize the likelihood of detecting late HBV infection. Anti-HBc testing of infants is not recommended because passively acquired maternal anti-HBc might be detected in infants born to HBsAg-positive mothers up to age 24 months. </w:t>
      </w:r>
    </w:p>
    <w:p w:rsidR="00946CFE" w:rsidRPr="008A1716" w:rsidRDefault="00946CFE" w:rsidP="006E3AFA">
      <w:pPr>
        <w:rPr>
          <w:rFonts w:ascii="Times New Roman" w:hAnsi="Times New Roman"/>
          <w:sz w:val="22"/>
          <w:szCs w:val="22"/>
        </w:rPr>
      </w:pPr>
      <w:r w:rsidRPr="008A1716">
        <w:rPr>
          <w:rFonts w:ascii="Times New Roman" w:hAnsi="Times New Roman"/>
          <w:sz w:val="22"/>
          <w:szCs w:val="22"/>
        </w:rPr>
        <w:t>Enclosed you will find a pediatric guide for caring for infants born to HBsAg-positive women. This guide includes the correct vaccination time frames for both single antigen, and the combination vaccine, Pediarix</w:t>
      </w:r>
      <w:r w:rsidRPr="008A1716">
        <w:rPr>
          <w:rFonts w:ascii="Times New Roman" w:hAnsi="Times New Roman"/>
          <w:sz w:val="22"/>
          <w:szCs w:val="22"/>
          <w:vertAlign w:val="superscript"/>
        </w:rPr>
        <w:t>®</w:t>
      </w:r>
      <w:r w:rsidR="008A1716">
        <w:rPr>
          <w:rFonts w:ascii="Times New Roman" w:hAnsi="Times New Roman"/>
          <w:sz w:val="22"/>
          <w:szCs w:val="22"/>
        </w:rPr>
        <w:t>;</w:t>
      </w:r>
      <w:r w:rsidRPr="008A1716">
        <w:rPr>
          <w:rFonts w:ascii="Times New Roman" w:hAnsi="Times New Roman"/>
          <w:sz w:val="22"/>
          <w:szCs w:val="22"/>
        </w:rPr>
        <w:t xml:space="preserve"> the po</w:t>
      </w:r>
      <w:r w:rsidR="00FA3316" w:rsidRPr="008A1716">
        <w:rPr>
          <w:rFonts w:ascii="Times New Roman" w:hAnsi="Times New Roman"/>
          <w:sz w:val="22"/>
          <w:szCs w:val="22"/>
        </w:rPr>
        <w:t xml:space="preserve">st vaccination serologic tests needed, the timeframe they should be ordered, and their CPT </w:t>
      </w:r>
      <w:r w:rsidR="004435B6">
        <w:rPr>
          <w:rFonts w:ascii="Times New Roman" w:hAnsi="Times New Roman"/>
          <w:sz w:val="22"/>
          <w:szCs w:val="22"/>
        </w:rPr>
        <w:t>c</w:t>
      </w:r>
      <w:r w:rsidR="00FA3316" w:rsidRPr="008A1716">
        <w:rPr>
          <w:rFonts w:ascii="Times New Roman" w:hAnsi="Times New Roman"/>
          <w:sz w:val="22"/>
          <w:szCs w:val="22"/>
        </w:rPr>
        <w:t>odes. It is important that the correct tests are ordered as the HBsAb and HBsAg are the only test</w:t>
      </w:r>
      <w:r w:rsidR="00841583" w:rsidRPr="008A1716">
        <w:rPr>
          <w:rFonts w:ascii="Times New Roman" w:hAnsi="Times New Roman"/>
          <w:sz w:val="22"/>
          <w:szCs w:val="22"/>
        </w:rPr>
        <w:t>s</w:t>
      </w:r>
      <w:r w:rsidR="00FA3316" w:rsidRPr="008A1716">
        <w:rPr>
          <w:rFonts w:ascii="Times New Roman" w:hAnsi="Times New Roman"/>
          <w:sz w:val="22"/>
          <w:szCs w:val="22"/>
        </w:rPr>
        <w:t xml:space="preserve"> that </w:t>
      </w:r>
      <w:bookmarkStart w:id="0" w:name="_GoBack"/>
      <w:r w:rsidR="00F5217C">
        <w:rPr>
          <w:rFonts w:ascii="Times New Roman" w:hAnsi="Times New Roman"/>
          <w:sz w:val="22"/>
          <w:szCs w:val="22"/>
        </w:rPr>
        <w:t xml:space="preserve">inform </w:t>
      </w:r>
      <w:bookmarkEnd w:id="0"/>
      <w:r w:rsidR="00FA3316" w:rsidRPr="008A1716">
        <w:rPr>
          <w:rFonts w:ascii="Times New Roman" w:hAnsi="Times New Roman"/>
          <w:sz w:val="22"/>
          <w:szCs w:val="22"/>
        </w:rPr>
        <w:t>if the child is immune from</w:t>
      </w:r>
      <w:r w:rsidR="009974A3">
        <w:rPr>
          <w:rFonts w:ascii="Times New Roman" w:hAnsi="Times New Roman"/>
          <w:sz w:val="22"/>
          <w:szCs w:val="22"/>
        </w:rPr>
        <w:t>,</w:t>
      </w:r>
      <w:r w:rsidR="00FA3316" w:rsidRPr="008A1716">
        <w:rPr>
          <w:rFonts w:ascii="Times New Roman" w:hAnsi="Times New Roman"/>
          <w:sz w:val="22"/>
          <w:szCs w:val="22"/>
        </w:rPr>
        <w:t xml:space="preserve"> or infected with</w:t>
      </w:r>
      <w:r w:rsidR="009974A3">
        <w:rPr>
          <w:rFonts w:ascii="Times New Roman" w:hAnsi="Times New Roman"/>
          <w:sz w:val="22"/>
          <w:szCs w:val="22"/>
        </w:rPr>
        <w:t>,</w:t>
      </w:r>
      <w:r w:rsidR="00FA3316" w:rsidRPr="008A1716">
        <w:rPr>
          <w:rFonts w:ascii="Times New Roman" w:hAnsi="Times New Roman"/>
          <w:sz w:val="22"/>
          <w:szCs w:val="22"/>
        </w:rPr>
        <w:t xml:space="preserve"> hepatitis B. </w:t>
      </w:r>
    </w:p>
    <w:p w:rsidR="00841583" w:rsidRPr="008A1716" w:rsidRDefault="00841583" w:rsidP="006E3AFA">
      <w:pPr>
        <w:rPr>
          <w:rFonts w:ascii="Times New Roman" w:hAnsi="Times New Roman"/>
          <w:sz w:val="22"/>
          <w:szCs w:val="22"/>
        </w:rPr>
      </w:pPr>
    </w:p>
    <w:p w:rsidR="009C366A" w:rsidRPr="008A1716" w:rsidRDefault="008A1716" w:rsidP="008A1716">
      <w:pPr>
        <w:rPr>
          <w:rFonts w:ascii="Times New Roman" w:hAnsi="Times New Roman"/>
          <w:color w:val="000000"/>
          <w:sz w:val="22"/>
          <w:szCs w:val="22"/>
        </w:rPr>
      </w:pPr>
      <w:r w:rsidRPr="008A1716">
        <w:rPr>
          <w:rFonts w:ascii="Times New Roman" w:hAnsi="Times New Roman"/>
          <w:color w:val="000000"/>
          <w:sz w:val="22"/>
          <w:szCs w:val="22"/>
        </w:rPr>
        <w:t>I</w:t>
      </w:r>
      <w:r w:rsidR="009C366A" w:rsidRPr="008A1716">
        <w:rPr>
          <w:rFonts w:ascii="Times New Roman" w:hAnsi="Times New Roman"/>
          <w:color w:val="000000"/>
          <w:sz w:val="22"/>
          <w:szCs w:val="22"/>
        </w:rPr>
        <w:t>f you have questions, please contact (573) 526-1465.</w:t>
      </w:r>
    </w:p>
    <w:p w:rsidR="009C366A" w:rsidRPr="008A1716" w:rsidRDefault="009C366A" w:rsidP="006E3AFA">
      <w:pPr>
        <w:rPr>
          <w:rFonts w:ascii="Times New Roman" w:hAnsi="Times New Roman"/>
          <w:sz w:val="22"/>
          <w:szCs w:val="22"/>
        </w:rPr>
      </w:pPr>
    </w:p>
    <w:p w:rsidR="00841583" w:rsidRPr="008A1716" w:rsidRDefault="00841583" w:rsidP="006E3AFA">
      <w:pPr>
        <w:rPr>
          <w:rFonts w:ascii="Times New Roman" w:hAnsi="Times New Roman"/>
          <w:sz w:val="22"/>
          <w:szCs w:val="22"/>
        </w:rPr>
      </w:pPr>
      <w:r w:rsidRPr="008A1716">
        <w:rPr>
          <w:rFonts w:ascii="Times New Roman" w:hAnsi="Times New Roman"/>
          <w:sz w:val="22"/>
          <w:szCs w:val="22"/>
        </w:rPr>
        <w:t xml:space="preserve">Regards, </w:t>
      </w:r>
    </w:p>
    <w:p w:rsidR="00841583" w:rsidRPr="008A1716" w:rsidRDefault="00841583" w:rsidP="006E3AFA">
      <w:pPr>
        <w:rPr>
          <w:rFonts w:ascii="Times New Roman" w:hAnsi="Times New Roman"/>
          <w:sz w:val="22"/>
          <w:szCs w:val="22"/>
        </w:rPr>
      </w:pPr>
    </w:p>
    <w:p w:rsidR="00841583" w:rsidRPr="008A1716" w:rsidRDefault="00841583" w:rsidP="006E3AFA">
      <w:pPr>
        <w:rPr>
          <w:rFonts w:ascii="Times New Roman" w:hAnsi="Times New Roman"/>
          <w:sz w:val="22"/>
          <w:szCs w:val="22"/>
        </w:rPr>
      </w:pPr>
      <w:r w:rsidRPr="008A1716">
        <w:rPr>
          <w:rFonts w:ascii="Times New Roman" w:hAnsi="Times New Roman"/>
          <w:sz w:val="22"/>
          <w:szCs w:val="22"/>
        </w:rPr>
        <w:t>Tricia Cregger, MPH</w:t>
      </w:r>
    </w:p>
    <w:p w:rsidR="00B7325B" w:rsidRPr="004435B6" w:rsidRDefault="00841583" w:rsidP="004435B6">
      <w:pPr>
        <w:rPr>
          <w:rFonts w:ascii="Times New Roman" w:hAnsi="Times New Roman"/>
          <w:sz w:val="22"/>
          <w:szCs w:val="22"/>
        </w:rPr>
      </w:pPr>
      <w:r w:rsidRPr="008A1716">
        <w:rPr>
          <w:rFonts w:ascii="Times New Roman" w:hAnsi="Times New Roman"/>
          <w:sz w:val="22"/>
          <w:szCs w:val="22"/>
        </w:rPr>
        <w:t>Perinatal Hepatitis B Prevention Program Coordinator</w:t>
      </w:r>
      <w:r w:rsidR="00482914">
        <w:tab/>
      </w:r>
    </w:p>
    <w:sectPr w:rsidR="00B7325B" w:rsidRPr="004435B6" w:rsidSect="00E10E41">
      <w:footerReference w:type="default" r:id="rId8"/>
      <w:headerReference w:type="first" r:id="rId9"/>
      <w:footerReference w:type="first" r:id="rId10"/>
      <w:pgSz w:w="12240" w:h="15840" w:code="1"/>
      <w:pgMar w:top="1440" w:right="1080" w:bottom="144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3B" w:rsidRDefault="009C4F3B">
      <w:r>
        <w:separator/>
      </w:r>
    </w:p>
  </w:endnote>
  <w:endnote w:type="continuationSeparator" w:id="0">
    <w:p w:rsidR="009C4F3B" w:rsidRDefault="009C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16" w:rsidRDefault="00FA3316">
    <w:pPr>
      <w:pStyle w:val="Footer"/>
      <w:tabs>
        <w:tab w:val="clear" w:pos="4320"/>
        <w:tab w:val="clear" w:pos="8640"/>
        <w:tab w:val="center" w:pos="4680"/>
      </w:tabs>
      <w:jc w:val="center"/>
      <w:rPr>
        <w:sz w:val="9"/>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16" w:rsidRDefault="00541DB7">
    <w:pPr>
      <w:pStyle w:val="Footer"/>
      <w:tabs>
        <w:tab w:val="clear" w:pos="4320"/>
        <w:tab w:val="center" w:pos="4680"/>
      </w:tabs>
      <w:jc w:val="center"/>
      <w:rPr>
        <w:b/>
        <w:bCs/>
        <w:sz w:val="14"/>
      </w:rPr>
    </w:pPr>
    <w:hyperlink r:id="rId1" w:history="1">
      <w:r w:rsidR="00FA3316" w:rsidRPr="004A3FAB">
        <w:rPr>
          <w:rStyle w:val="Hyperlink"/>
          <w:b/>
          <w:bCs/>
          <w:sz w:val="14"/>
        </w:rPr>
        <w:t>www.health.mo.gov</w:t>
      </w:r>
    </w:hyperlink>
  </w:p>
  <w:p w:rsidR="00FA3316" w:rsidRDefault="00FA3316">
    <w:pPr>
      <w:pStyle w:val="Footer"/>
      <w:tabs>
        <w:tab w:val="clear" w:pos="4320"/>
        <w:tab w:val="center" w:pos="4680"/>
      </w:tabs>
      <w:jc w:val="center"/>
      <w:rPr>
        <w:b/>
        <w:bCs/>
        <w:sz w:val="14"/>
      </w:rPr>
    </w:pPr>
  </w:p>
  <w:p w:rsidR="00FA3316" w:rsidRDefault="00FA3316">
    <w:pPr>
      <w:pStyle w:val="Footer"/>
      <w:tabs>
        <w:tab w:val="clear" w:pos="4320"/>
        <w:tab w:val="center" w:pos="4680"/>
      </w:tabs>
      <w:jc w:val="center"/>
      <w:rPr>
        <w:b/>
        <w:bCs/>
        <w:sz w:val="14"/>
      </w:rPr>
    </w:pPr>
    <w:r>
      <w:rPr>
        <w:b/>
        <w:bCs/>
        <w:sz w:val="14"/>
      </w:rPr>
      <w:t>Healthy Missourians for life.</w:t>
    </w:r>
  </w:p>
  <w:p w:rsidR="00FA3316" w:rsidRDefault="00FA3316">
    <w:pPr>
      <w:pStyle w:val="Footer"/>
      <w:tabs>
        <w:tab w:val="clear" w:pos="4320"/>
        <w:tab w:val="center" w:pos="4680"/>
      </w:tabs>
      <w:jc w:val="center"/>
      <w:rPr>
        <w:rFonts w:cs="Arial"/>
        <w:sz w:val="15"/>
      </w:rPr>
    </w:pPr>
    <w:r>
      <w:rPr>
        <w:rFonts w:cs="Arial"/>
        <w:sz w:val="15"/>
      </w:rPr>
      <w:t>The Missouri Department of Health and Senior Services will be the leader in promoting, protecting and partnering for health.</w:t>
    </w:r>
  </w:p>
  <w:p w:rsidR="00FA3316" w:rsidRDefault="00FA3316">
    <w:pPr>
      <w:pStyle w:val="Footer"/>
      <w:tabs>
        <w:tab w:val="clear" w:pos="4320"/>
        <w:tab w:val="center" w:pos="4680"/>
      </w:tabs>
      <w:jc w:val="center"/>
      <w:rPr>
        <w:sz w:val="15"/>
      </w:rPr>
    </w:pPr>
  </w:p>
  <w:p w:rsidR="00FA3316" w:rsidRDefault="00FA3316">
    <w:pPr>
      <w:pStyle w:val="Footer"/>
      <w:tabs>
        <w:tab w:val="clear" w:pos="4320"/>
        <w:tab w:val="center" w:pos="4680"/>
      </w:tabs>
      <w:jc w:val="center"/>
      <w:rPr>
        <w:sz w:val="4"/>
      </w:rPr>
    </w:pPr>
  </w:p>
  <w:p w:rsidR="00FA3316" w:rsidRDefault="00FA3316">
    <w:pPr>
      <w:pStyle w:val="Footer"/>
      <w:tabs>
        <w:tab w:val="clear" w:pos="4320"/>
        <w:tab w:val="clear" w:pos="8640"/>
        <w:tab w:val="center" w:pos="4680"/>
      </w:tabs>
      <w:jc w:val="center"/>
      <w:rPr>
        <w:sz w:val="15"/>
      </w:rPr>
    </w:pPr>
    <w:r>
      <w:rPr>
        <w:sz w:val="15"/>
      </w:rPr>
      <w:t>AN EQUAL OPPORTUNITY / AFFIRMATIVE ACTION EMPLOYER: Services provided on a nondiscriminatory basis.</w:t>
    </w:r>
  </w:p>
  <w:p w:rsidR="00FA3316" w:rsidRDefault="00FA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3B" w:rsidRDefault="009C4F3B">
      <w:r>
        <w:separator/>
      </w:r>
    </w:p>
  </w:footnote>
  <w:footnote w:type="continuationSeparator" w:id="0">
    <w:p w:rsidR="009C4F3B" w:rsidRDefault="009C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570"/>
      <w:gridCol w:w="1944"/>
    </w:tblGrid>
    <w:tr w:rsidR="00FA3316" w:rsidTr="006D6284">
      <w:trPr>
        <w:cantSplit/>
        <w:trHeight w:val="706"/>
      </w:trPr>
      <w:tc>
        <w:tcPr>
          <w:tcW w:w="1728" w:type="dxa"/>
          <w:vMerge w:val="restart"/>
          <w:tcBorders>
            <w:top w:val="nil"/>
            <w:left w:val="nil"/>
            <w:bottom w:val="single" w:sz="4" w:space="0" w:color="auto"/>
            <w:right w:val="nil"/>
          </w:tcBorders>
        </w:tcPr>
        <w:p w:rsidR="00FA3316" w:rsidRPr="000E40B3" w:rsidRDefault="00FA3316" w:rsidP="001359F0">
          <w:pPr>
            <w:pStyle w:val="Header"/>
            <w:tabs>
              <w:tab w:val="clear" w:pos="4320"/>
              <w:tab w:val="clear" w:pos="8640"/>
              <w:tab w:val="center" w:pos="570"/>
            </w:tabs>
            <w:ind w:left="-180" w:hanging="156"/>
          </w:pPr>
          <w:r>
            <w:rPr>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-73025</wp:posOffset>
                    </wp:positionV>
                    <wp:extent cx="1019175" cy="834390"/>
                    <wp:effectExtent l="0" t="3175" r="254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316" w:rsidRDefault="00FA3316">
                                <w:r>
                                  <w:rPr>
                                    <w:noProof/>
                                  </w:rPr>
                                  <w:drawing>
                                    <wp:inline distT="0" distB="0" distL="0" distR="0">
                                      <wp:extent cx="872490" cy="739775"/>
                                      <wp:effectExtent l="0" t="0" r="3810" b="3175"/>
                                      <wp:docPr id="4" name="Picture 2" descr="DHSS Logo Final bw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S Logo Final bw Ad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7397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5pt;margin-top:-5.75pt;width:80.25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k2sw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" filled="f" stroked="f">
                    <v:textbox style="mso-fit-shape-to-text:t">
                      <w:txbxContent>
                        <w:p w:rsidR="00FA3316" w:rsidRDefault="00FA3316">
                          <w:r>
                            <w:rPr>
                              <w:noProof/>
                            </w:rPr>
                            <w:drawing>
                              <wp:inline distT="0" distB="0" distL="0" distR="0">
                                <wp:extent cx="872490" cy="739775"/>
                                <wp:effectExtent l="0" t="0" r="3810" b="3175"/>
                                <wp:docPr id="4" name="Picture 2" descr="DHSS Logo Final bw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S Logo Final bw Adm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490" cy="739775"/>
                                        </a:xfrm>
                                        <a:prstGeom prst="rect">
                                          <a:avLst/>
                                        </a:prstGeom>
                                        <a:noFill/>
                                        <a:ln>
                                          <a:noFill/>
                                        </a:ln>
                                      </pic:spPr>
                                    </pic:pic>
                                  </a:graphicData>
                                </a:graphic>
                              </wp:inline>
                            </w:drawing>
                          </w:r>
                        </w:p>
                      </w:txbxContent>
                    </v:textbox>
                  </v:shape>
                </w:pict>
              </mc:Fallback>
            </mc:AlternateContent>
          </w:r>
          <w:r>
            <w:tab/>
          </w:r>
          <w:r>
            <w:tab/>
          </w:r>
        </w:p>
      </w:tc>
      <w:tc>
        <w:tcPr>
          <w:tcW w:w="6570" w:type="dxa"/>
          <w:tcBorders>
            <w:top w:val="nil"/>
            <w:left w:val="nil"/>
            <w:bottom w:val="single" w:sz="4" w:space="0" w:color="auto"/>
            <w:right w:val="nil"/>
          </w:tcBorders>
          <w:vAlign w:val="center"/>
        </w:tcPr>
        <w:p w:rsidR="00FA3316" w:rsidRDefault="00FA3316" w:rsidP="00AE7410">
          <w:pPr>
            <w:pStyle w:val="Header"/>
            <w:ind w:hanging="108"/>
            <w:rPr>
              <w:rFonts w:ascii="Arial Narrow" w:hAnsi="Arial Narrow" w:cs="Arial"/>
              <w:b/>
              <w:bCs/>
              <w:sz w:val="22"/>
            </w:rPr>
          </w:pPr>
          <w:r>
            <w:rPr>
              <w:rFonts w:ascii="Arial Narrow" w:hAnsi="Arial Narrow" w:cs="Arial"/>
              <w:b/>
              <w:bCs/>
              <w:sz w:val="22"/>
            </w:rPr>
            <w:t>Missouri Department of Health and Senior Services</w:t>
          </w:r>
        </w:p>
        <w:p w:rsidR="00FA3316" w:rsidRDefault="00FA3316" w:rsidP="00AE7410">
          <w:pPr>
            <w:pStyle w:val="Header"/>
            <w:ind w:hanging="108"/>
            <w:rPr>
              <w:rFonts w:cs="Arial"/>
              <w:sz w:val="15"/>
            </w:rPr>
          </w:pPr>
          <w:r>
            <w:rPr>
              <w:rFonts w:cs="Arial"/>
              <w:sz w:val="15"/>
            </w:rPr>
            <w:t>P.O. Box 570, Jefferson City, MO 65102-0570        Phone: 573-751-6400    FAX: 573-751-6010</w:t>
          </w:r>
        </w:p>
        <w:p w:rsidR="00FA3316" w:rsidRDefault="00FA3316" w:rsidP="00AE7410">
          <w:pPr>
            <w:pStyle w:val="Header"/>
            <w:ind w:hanging="108"/>
            <w:rPr>
              <w:rFonts w:cs="Arial"/>
              <w:sz w:val="15"/>
            </w:rPr>
          </w:pPr>
          <w:r>
            <w:rPr>
              <w:rFonts w:cs="Arial"/>
              <w:sz w:val="15"/>
            </w:rPr>
            <w:t>RELAY MISSOURI for Hearing and Speech Impaired and Voice dial: 711</w:t>
          </w:r>
        </w:p>
      </w:tc>
      <w:tc>
        <w:tcPr>
          <w:tcW w:w="1944" w:type="dxa"/>
          <w:tcBorders>
            <w:top w:val="nil"/>
            <w:left w:val="nil"/>
            <w:bottom w:val="single" w:sz="4" w:space="0" w:color="auto"/>
            <w:right w:val="nil"/>
          </w:tcBorders>
        </w:tcPr>
        <w:p w:rsidR="00FA3316" w:rsidRDefault="00FA3316" w:rsidP="00B070FB">
          <w:pPr>
            <w:pStyle w:val="Header"/>
            <w:ind w:right="-108" w:hanging="108"/>
            <w:jc w:val="center"/>
            <w:rPr>
              <w:rFonts w:cs="Arial"/>
            </w:rPr>
          </w:pPr>
          <w:r>
            <w:rPr>
              <w:rFonts w:cs="Arial"/>
              <w:b/>
              <w:noProof/>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-224790</wp:posOffset>
                    </wp:positionV>
                    <wp:extent cx="841375" cy="709930"/>
                    <wp:effectExtent l="0" t="381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316" w:rsidRDefault="00FA3316">
                                <w:r>
                                  <w:rPr>
                                    <w:rFonts w:cs="Arial"/>
                                    <w:b/>
                                    <w:noProof/>
                                  </w:rPr>
                                  <w:drawing>
                                    <wp:inline distT="0" distB="0" distL="0" distR="0">
                                      <wp:extent cx="655955" cy="66294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955" cy="6629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85pt;margin-top:-17.7pt;width:66.25pt;height:55.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jbtQIAAL0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" filled="f" stroked="f">
                    <v:textbox>
                      <w:txbxContent>
                        <w:p w:rsidR="00FA3316" w:rsidRDefault="00FA3316">
                          <w:r>
                            <w:rPr>
                              <w:rFonts w:cs="Arial"/>
                              <w:b/>
                              <w:noProof/>
                            </w:rPr>
                            <w:drawing>
                              <wp:inline distT="0" distB="0" distL="0" distR="0">
                                <wp:extent cx="655955" cy="66294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955" cy="662940"/>
                                        </a:xfrm>
                                        <a:prstGeom prst="rect">
                                          <a:avLst/>
                                        </a:prstGeom>
                                        <a:noFill/>
                                        <a:ln>
                                          <a:noFill/>
                                        </a:ln>
                                      </pic:spPr>
                                    </pic:pic>
                                  </a:graphicData>
                                </a:graphic>
                              </wp:inline>
                            </w:drawing>
                          </w:r>
                        </w:p>
                      </w:txbxContent>
                    </v:textbox>
                  </v:shape>
                </w:pict>
              </mc:Fallback>
            </mc:AlternateContent>
          </w:r>
          <w:r>
            <w:rPr>
              <w:rFonts w:cs="Arial"/>
              <w:b/>
            </w:rPr>
            <w:t xml:space="preserve"> </w:t>
          </w:r>
        </w:p>
      </w:tc>
    </w:tr>
    <w:tr w:rsidR="00FA3316" w:rsidTr="006D6284">
      <w:trPr>
        <w:cantSplit/>
        <w:trHeight w:val="553"/>
      </w:trPr>
      <w:tc>
        <w:tcPr>
          <w:tcW w:w="1728" w:type="dxa"/>
          <w:vMerge/>
          <w:tcBorders>
            <w:top w:val="single" w:sz="4" w:space="0" w:color="auto"/>
            <w:left w:val="nil"/>
            <w:bottom w:val="nil"/>
            <w:right w:val="nil"/>
          </w:tcBorders>
        </w:tcPr>
        <w:p w:rsidR="00FA3316" w:rsidRDefault="00FA3316">
          <w:pPr>
            <w:pStyle w:val="Header"/>
          </w:pPr>
        </w:p>
      </w:tc>
      <w:tc>
        <w:tcPr>
          <w:tcW w:w="6570" w:type="dxa"/>
          <w:tcBorders>
            <w:top w:val="single" w:sz="4" w:space="0" w:color="auto"/>
            <w:left w:val="nil"/>
            <w:bottom w:val="nil"/>
            <w:right w:val="nil"/>
          </w:tcBorders>
        </w:tcPr>
        <w:p w:rsidR="00FA3316" w:rsidRDefault="00FA3316">
          <w:pPr>
            <w:pStyle w:val="Header"/>
            <w:ind w:hanging="108"/>
            <w:rPr>
              <w:b/>
              <w:bCs/>
              <w:sz w:val="4"/>
            </w:rPr>
          </w:pPr>
        </w:p>
        <w:p w:rsidR="00FA3316" w:rsidRDefault="00FA3316" w:rsidP="00932D40">
          <w:pPr>
            <w:pStyle w:val="Header"/>
            <w:ind w:hanging="108"/>
            <w:rPr>
              <w:b/>
              <w:sz w:val="16"/>
              <w:szCs w:val="16"/>
            </w:rPr>
          </w:pPr>
          <w:r>
            <w:rPr>
              <w:b/>
              <w:sz w:val="16"/>
              <w:szCs w:val="16"/>
            </w:rPr>
            <w:t>Robert J. Knodell</w:t>
          </w:r>
        </w:p>
        <w:p w:rsidR="00FA3316" w:rsidRPr="00932D40" w:rsidRDefault="00FA3316" w:rsidP="00932D40">
          <w:pPr>
            <w:pStyle w:val="Header"/>
            <w:ind w:hanging="108"/>
            <w:rPr>
              <w:b/>
              <w:sz w:val="16"/>
              <w:szCs w:val="16"/>
            </w:rPr>
          </w:pPr>
          <w:r>
            <w:rPr>
              <w:sz w:val="14"/>
            </w:rPr>
            <w:t>Acting Director</w:t>
          </w:r>
        </w:p>
      </w:tc>
      <w:tc>
        <w:tcPr>
          <w:tcW w:w="1944" w:type="dxa"/>
          <w:tcBorders>
            <w:top w:val="single" w:sz="4" w:space="0" w:color="auto"/>
            <w:left w:val="nil"/>
            <w:bottom w:val="nil"/>
            <w:right w:val="nil"/>
          </w:tcBorders>
        </w:tcPr>
        <w:p w:rsidR="00FA3316" w:rsidRDefault="00FA3316" w:rsidP="00995AD8">
          <w:pPr>
            <w:pStyle w:val="Header"/>
            <w:jc w:val="center"/>
            <w:rPr>
              <w:b/>
              <w:bCs/>
              <w:sz w:val="4"/>
            </w:rPr>
          </w:pPr>
        </w:p>
        <w:p w:rsidR="00FA3316" w:rsidRDefault="00FA3316" w:rsidP="00742E0F">
          <w:pPr>
            <w:pStyle w:val="Header"/>
            <w:ind w:left="-6" w:right="-288"/>
            <w:jc w:val="center"/>
            <w:rPr>
              <w:b/>
              <w:bCs/>
              <w:sz w:val="16"/>
            </w:rPr>
          </w:pPr>
          <w:r>
            <w:rPr>
              <w:b/>
              <w:bCs/>
              <w:sz w:val="16"/>
            </w:rPr>
            <w:t>Michael L. Parson</w:t>
          </w:r>
        </w:p>
        <w:p w:rsidR="00FA3316" w:rsidRDefault="00FA3316" w:rsidP="00742E0F">
          <w:pPr>
            <w:pStyle w:val="Header"/>
            <w:jc w:val="center"/>
            <w:rPr>
              <w:sz w:val="14"/>
            </w:rPr>
          </w:pPr>
          <w:r>
            <w:rPr>
              <w:sz w:val="14"/>
            </w:rPr>
            <w:t xml:space="preserve">    Governor</w:t>
          </w:r>
        </w:p>
      </w:tc>
    </w:tr>
  </w:tbl>
  <w:p w:rsidR="00FA3316" w:rsidRDefault="00FA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60E51"/>
    <w:multiLevelType w:val="multilevel"/>
    <w:tmpl w:val="F230D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6D"/>
    <w:rsid w:val="00005F55"/>
    <w:rsid w:val="00016D13"/>
    <w:rsid w:val="00052C63"/>
    <w:rsid w:val="000E40B3"/>
    <w:rsid w:val="00105609"/>
    <w:rsid w:val="001359F0"/>
    <w:rsid w:val="00174334"/>
    <w:rsid w:val="001A3A65"/>
    <w:rsid w:val="0020116E"/>
    <w:rsid w:val="002030DE"/>
    <w:rsid w:val="00224177"/>
    <w:rsid w:val="002379E2"/>
    <w:rsid w:val="00247E83"/>
    <w:rsid w:val="002718D1"/>
    <w:rsid w:val="002848E7"/>
    <w:rsid w:val="002F036D"/>
    <w:rsid w:val="00302378"/>
    <w:rsid w:val="003215FA"/>
    <w:rsid w:val="0033535A"/>
    <w:rsid w:val="00367CB9"/>
    <w:rsid w:val="003F03CB"/>
    <w:rsid w:val="004435B6"/>
    <w:rsid w:val="00482914"/>
    <w:rsid w:val="004A415D"/>
    <w:rsid w:val="004D257F"/>
    <w:rsid w:val="004E222E"/>
    <w:rsid w:val="00505E51"/>
    <w:rsid w:val="00517C98"/>
    <w:rsid w:val="005352B2"/>
    <w:rsid w:val="00541DB7"/>
    <w:rsid w:val="00606F7D"/>
    <w:rsid w:val="00637F2D"/>
    <w:rsid w:val="00690D37"/>
    <w:rsid w:val="00696A6F"/>
    <w:rsid w:val="006B0D58"/>
    <w:rsid w:val="006D6284"/>
    <w:rsid w:val="006E3AFA"/>
    <w:rsid w:val="006F405C"/>
    <w:rsid w:val="00712F27"/>
    <w:rsid w:val="00742E0F"/>
    <w:rsid w:val="00744AD3"/>
    <w:rsid w:val="007E64FA"/>
    <w:rsid w:val="007F129A"/>
    <w:rsid w:val="00841583"/>
    <w:rsid w:val="00867D41"/>
    <w:rsid w:val="008A1716"/>
    <w:rsid w:val="008C2017"/>
    <w:rsid w:val="008C2F9B"/>
    <w:rsid w:val="008D738D"/>
    <w:rsid w:val="00925C1D"/>
    <w:rsid w:val="00932D40"/>
    <w:rsid w:val="00935266"/>
    <w:rsid w:val="00946CFE"/>
    <w:rsid w:val="0099016B"/>
    <w:rsid w:val="00995AD8"/>
    <w:rsid w:val="009974A3"/>
    <w:rsid w:val="009A2842"/>
    <w:rsid w:val="009C366A"/>
    <w:rsid w:val="009C3AA7"/>
    <w:rsid w:val="009C4DA7"/>
    <w:rsid w:val="009C4F3B"/>
    <w:rsid w:val="009D0503"/>
    <w:rsid w:val="00A94C5D"/>
    <w:rsid w:val="00AE7410"/>
    <w:rsid w:val="00AF49BD"/>
    <w:rsid w:val="00B070FB"/>
    <w:rsid w:val="00B7325B"/>
    <w:rsid w:val="00B87590"/>
    <w:rsid w:val="00BA1427"/>
    <w:rsid w:val="00BB3C1D"/>
    <w:rsid w:val="00BF2181"/>
    <w:rsid w:val="00C41386"/>
    <w:rsid w:val="00C421B5"/>
    <w:rsid w:val="00C82DB2"/>
    <w:rsid w:val="00CA0AD6"/>
    <w:rsid w:val="00CD4337"/>
    <w:rsid w:val="00D03C1E"/>
    <w:rsid w:val="00D17E30"/>
    <w:rsid w:val="00D21235"/>
    <w:rsid w:val="00D222E9"/>
    <w:rsid w:val="00D31334"/>
    <w:rsid w:val="00DA317C"/>
    <w:rsid w:val="00DA6ACD"/>
    <w:rsid w:val="00DB703B"/>
    <w:rsid w:val="00DC5AA4"/>
    <w:rsid w:val="00E03103"/>
    <w:rsid w:val="00E10E41"/>
    <w:rsid w:val="00E35902"/>
    <w:rsid w:val="00E46AE8"/>
    <w:rsid w:val="00E60113"/>
    <w:rsid w:val="00E70751"/>
    <w:rsid w:val="00E97A3F"/>
    <w:rsid w:val="00EF3AEB"/>
    <w:rsid w:val="00F44F9E"/>
    <w:rsid w:val="00F5217C"/>
    <w:rsid w:val="00F66015"/>
    <w:rsid w:val="00F80454"/>
    <w:rsid w:val="00FA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AAF6B0-30A8-4037-8BF4-4341974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5"/>
    <w:rPr>
      <w:rFonts w:ascii="Arial" w:hAnsi="Arial"/>
      <w:szCs w:val="24"/>
    </w:rPr>
  </w:style>
  <w:style w:type="paragraph" w:styleId="Heading4">
    <w:name w:val="heading 4"/>
    <w:basedOn w:val="Normal"/>
    <w:link w:val="Heading4Char"/>
    <w:uiPriority w:val="9"/>
    <w:qFormat/>
    <w:rsid w:val="00D222E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05F55"/>
    <w:pPr>
      <w:tabs>
        <w:tab w:val="center" w:pos="4320"/>
        <w:tab w:val="right" w:pos="8640"/>
      </w:tabs>
    </w:pPr>
  </w:style>
  <w:style w:type="paragraph" w:styleId="Footer">
    <w:name w:val="footer"/>
    <w:basedOn w:val="Normal"/>
    <w:semiHidden/>
    <w:rsid w:val="00005F55"/>
    <w:pPr>
      <w:tabs>
        <w:tab w:val="center" w:pos="4320"/>
        <w:tab w:val="right" w:pos="8640"/>
      </w:tabs>
    </w:pPr>
  </w:style>
  <w:style w:type="character" w:styleId="Hyperlink">
    <w:name w:val="Hyperlink"/>
    <w:semiHidden/>
    <w:rsid w:val="00005F55"/>
    <w:rPr>
      <w:color w:val="0000FF"/>
      <w:u w:val="single"/>
    </w:rPr>
  </w:style>
  <w:style w:type="character" w:styleId="FollowedHyperlink">
    <w:name w:val="FollowedHyperlink"/>
    <w:semiHidden/>
    <w:rsid w:val="00005F55"/>
    <w:rPr>
      <w:color w:val="800080"/>
      <w:u w:val="single"/>
    </w:rPr>
  </w:style>
  <w:style w:type="character" w:styleId="PageNumber">
    <w:name w:val="page number"/>
    <w:basedOn w:val="DefaultParagraphFont"/>
    <w:semiHidden/>
    <w:rsid w:val="00005F55"/>
  </w:style>
  <w:style w:type="paragraph" w:styleId="BalloonText">
    <w:name w:val="Balloon Text"/>
    <w:basedOn w:val="Normal"/>
    <w:link w:val="BalloonTextChar"/>
    <w:uiPriority w:val="99"/>
    <w:semiHidden/>
    <w:unhideWhenUsed/>
    <w:rsid w:val="00BF2181"/>
    <w:rPr>
      <w:rFonts w:ascii="Tahoma" w:hAnsi="Tahoma" w:cs="Tahoma"/>
      <w:sz w:val="16"/>
      <w:szCs w:val="16"/>
    </w:rPr>
  </w:style>
  <w:style w:type="character" w:customStyle="1" w:styleId="BalloonTextChar">
    <w:name w:val="Balloon Text Char"/>
    <w:link w:val="BalloonText"/>
    <w:uiPriority w:val="99"/>
    <w:semiHidden/>
    <w:rsid w:val="00BF2181"/>
    <w:rPr>
      <w:rFonts w:ascii="Tahoma" w:hAnsi="Tahoma" w:cs="Tahoma"/>
      <w:sz w:val="16"/>
      <w:szCs w:val="16"/>
    </w:rPr>
  </w:style>
  <w:style w:type="character" w:customStyle="1" w:styleId="HeaderChar">
    <w:name w:val="Header Char"/>
    <w:link w:val="Header"/>
    <w:semiHidden/>
    <w:rsid w:val="00742E0F"/>
    <w:rPr>
      <w:rFonts w:ascii="Arial" w:hAnsi="Arial"/>
      <w:szCs w:val="24"/>
    </w:rPr>
  </w:style>
  <w:style w:type="paragraph" w:styleId="NormalWeb">
    <w:name w:val="Normal (Web)"/>
    <w:basedOn w:val="Normal"/>
    <w:uiPriority w:val="99"/>
    <w:semiHidden/>
    <w:unhideWhenUsed/>
    <w:rsid w:val="00D222E9"/>
    <w:pPr>
      <w:spacing w:before="100" w:beforeAutospacing="1" w:after="100" w:afterAutospacing="1"/>
    </w:pPr>
    <w:rPr>
      <w:rFonts w:ascii="Times New Roman" w:hAnsi="Times New Roman"/>
      <w:sz w:val="24"/>
    </w:rPr>
  </w:style>
  <w:style w:type="character" w:customStyle="1" w:styleId="Heading4Char">
    <w:name w:val="Heading 4 Char"/>
    <w:basedOn w:val="DefaultParagraphFont"/>
    <w:link w:val="Heading4"/>
    <w:uiPriority w:val="9"/>
    <w:rsid w:val="00D222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844">
      <w:bodyDiv w:val="1"/>
      <w:marLeft w:val="0"/>
      <w:marRight w:val="0"/>
      <w:marTop w:val="0"/>
      <w:marBottom w:val="0"/>
      <w:divBdr>
        <w:top w:val="none" w:sz="0" w:space="0" w:color="auto"/>
        <w:left w:val="none" w:sz="0" w:space="0" w:color="auto"/>
        <w:bottom w:val="none" w:sz="0" w:space="0" w:color="auto"/>
        <w:right w:val="none" w:sz="0" w:space="0" w:color="auto"/>
      </w:divBdr>
    </w:div>
    <w:div w:id="329528405">
      <w:bodyDiv w:val="1"/>
      <w:marLeft w:val="0"/>
      <w:marRight w:val="0"/>
      <w:marTop w:val="0"/>
      <w:marBottom w:val="0"/>
      <w:divBdr>
        <w:top w:val="none" w:sz="0" w:space="0" w:color="auto"/>
        <w:left w:val="none" w:sz="0" w:space="0" w:color="auto"/>
        <w:bottom w:val="none" w:sz="0" w:space="0" w:color="auto"/>
        <w:right w:val="none" w:sz="0" w:space="0" w:color="auto"/>
      </w:divBdr>
    </w:div>
    <w:div w:id="975643431">
      <w:bodyDiv w:val="1"/>
      <w:marLeft w:val="0"/>
      <w:marRight w:val="0"/>
      <w:marTop w:val="0"/>
      <w:marBottom w:val="0"/>
      <w:divBdr>
        <w:top w:val="none" w:sz="0" w:space="0" w:color="auto"/>
        <w:left w:val="none" w:sz="0" w:space="0" w:color="auto"/>
        <w:bottom w:val="none" w:sz="0" w:space="0" w:color="auto"/>
        <w:right w:val="none" w:sz="0" w:space="0" w:color="auto"/>
      </w:divBdr>
      <w:divsChild>
        <w:div w:id="1199857752">
          <w:marLeft w:val="0"/>
          <w:marRight w:val="0"/>
          <w:marTop w:val="0"/>
          <w:marBottom w:val="0"/>
          <w:divBdr>
            <w:top w:val="none" w:sz="0" w:space="0" w:color="auto"/>
            <w:left w:val="none" w:sz="0" w:space="0" w:color="auto"/>
            <w:bottom w:val="none" w:sz="0" w:space="0" w:color="auto"/>
            <w:right w:val="none" w:sz="0" w:space="0" w:color="auto"/>
          </w:divBdr>
          <w:divsChild>
            <w:div w:id="1128664894">
              <w:marLeft w:val="0"/>
              <w:marRight w:val="0"/>
              <w:marTop w:val="0"/>
              <w:marBottom w:val="0"/>
              <w:divBdr>
                <w:top w:val="none" w:sz="0" w:space="0" w:color="auto"/>
                <w:left w:val="none" w:sz="0" w:space="0" w:color="auto"/>
                <w:bottom w:val="none" w:sz="0" w:space="0" w:color="auto"/>
                <w:right w:val="none" w:sz="0" w:space="0" w:color="auto"/>
              </w:divBdr>
              <w:divsChild>
                <w:div w:id="864557239">
                  <w:marLeft w:val="0"/>
                  <w:marRight w:val="0"/>
                  <w:marTop w:val="0"/>
                  <w:marBottom w:val="0"/>
                  <w:divBdr>
                    <w:top w:val="none" w:sz="0" w:space="0" w:color="auto"/>
                    <w:left w:val="none" w:sz="0" w:space="0" w:color="auto"/>
                    <w:bottom w:val="none" w:sz="0" w:space="0" w:color="auto"/>
                    <w:right w:val="none" w:sz="0" w:space="0" w:color="auto"/>
                  </w:divBdr>
                  <w:divsChild>
                    <w:div w:id="381559341">
                      <w:marLeft w:val="0"/>
                      <w:marRight w:val="0"/>
                      <w:marTop w:val="0"/>
                      <w:marBottom w:val="0"/>
                      <w:divBdr>
                        <w:top w:val="none" w:sz="0" w:space="0" w:color="auto"/>
                        <w:left w:val="none" w:sz="0" w:space="0" w:color="auto"/>
                        <w:bottom w:val="none" w:sz="0" w:space="0" w:color="auto"/>
                        <w:right w:val="none" w:sz="0" w:space="0" w:color="auto"/>
                      </w:divBdr>
                      <w:divsChild>
                        <w:div w:id="1525510950">
                          <w:marLeft w:val="0"/>
                          <w:marRight w:val="0"/>
                          <w:marTop w:val="0"/>
                          <w:marBottom w:val="0"/>
                          <w:divBdr>
                            <w:top w:val="none" w:sz="0" w:space="0" w:color="auto"/>
                            <w:left w:val="none" w:sz="0" w:space="0" w:color="auto"/>
                            <w:bottom w:val="none" w:sz="0" w:space="0" w:color="auto"/>
                            <w:right w:val="none" w:sz="0" w:space="0" w:color="auto"/>
                          </w:divBdr>
                          <w:divsChild>
                            <w:div w:id="1708599952">
                              <w:marLeft w:val="0"/>
                              <w:marRight w:val="0"/>
                              <w:marTop w:val="0"/>
                              <w:marBottom w:val="0"/>
                              <w:divBdr>
                                <w:top w:val="none" w:sz="0" w:space="0" w:color="auto"/>
                                <w:left w:val="none" w:sz="0" w:space="0" w:color="auto"/>
                                <w:bottom w:val="none" w:sz="0" w:space="0" w:color="auto"/>
                                <w:right w:val="none" w:sz="0" w:space="0" w:color="auto"/>
                              </w:divBdr>
                              <w:divsChild>
                                <w:div w:id="9633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339120">
      <w:bodyDiv w:val="1"/>
      <w:marLeft w:val="0"/>
      <w:marRight w:val="0"/>
      <w:marTop w:val="0"/>
      <w:marBottom w:val="0"/>
      <w:divBdr>
        <w:top w:val="none" w:sz="0" w:space="0" w:color="auto"/>
        <w:left w:val="none" w:sz="0" w:space="0" w:color="auto"/>
        <w:bottom w:val="none" w:sz="0" w:space="0" w:color="auto"/>
        <w:right w:val="none" w:sz="0" w:space="0" w:color="auto"/>
      </w:divBdr>
    </w:div>
    <w:div w:id="1855150319">
      <w:bodyDiv w:val="1"/>
      <w:marLeft w:val="0"/>
      <w:marRight w:val="0"/>
      <w:marTop w:val="0"/>
      <w:marBottom w:val="0"/>
      <w:divBdr>
        <w:top w:val="none" w:sz="0" w:space="0" w:color="auto"/>
        <w:left w:val="none" w:sz="0" w:space="0" w:color="auto"/>
        <w:bottom w:val="none" w:sz="0" w:space="0" w:color="auto"/>
        <w:right w:val="none" w:sz="0" w:space="0" w:color="auto"/>
      </w:divBdr>
      <w:divsChild>
        <w:div w:id="1247613586">
          <w:marLeft w:val="0"/>
          <w:marRight w:val="0"/>
          <w:marTop w:val="0"/>
          <w:marBottom w:val="0"/>
          <w:divBdr>
            <w:top w:val="none" w:sz="0" w:space="0" w:color="auto"/>
            <w:left w:val="none" w:sz="0" w:space="0" w:color="auto"/>
            <w:bottom w:val="none" w:sz="0" w:space="0" w:color="auto"/>
            <w:right w:val="none" w:sz="0" w:space="0" w:color="auto"/>
          </w:divBdr>
          <w:divsChild>
            <w:div w:id="1237204504">
              <w:marLeft w:val="0"/>
              <w:marRight w:val="0"/>
              <w:marTop w:val="0"/>
              <w:marBottom w:val="0"/>
              <w:divBdr>
                <w:top w:val="none" w:sz="0" w:space="0" w:color="auto"/>
                <w:left w:val="none" w:sz="0" w:space="0" w:color="auto"/>
                <w:bottom w:val="none" w:sz="0" w:space="0" w:color="auto"/>
                <w:right w:val="none" w:sz="0" w:space="0" w:color="auto"/>
              </w:divBdr>
              <w:divsChild>
                <w:div w:id="1657611205">
                  <w:marLeft w:val="0"/>
                  <w:marRight w:val="0"/>
                  <w:marTop w:val="0"/>
                  <w:marBottom w:val="0"/>
                  <w:divBdr>
                    <w:top w:val="none" w:sz="0" w:space="0" w:color="auto"/>
                    <w:left w:val="none" w:sz="0" w:space="0" w:color="auto"/>
                    <w:bottom w:val="none" w:sz="0" w:space="0" w:color="auto"/>
                    <w:right w:val="none" w:sz="0" w:space="0" w:color="auto"/>
                  </w:divBdr>
                  <w:divsChild>
                    <w:div w:id="510800742">
                      <w:marLeft w:val="0"/>
                      <w:marRight w:val="0"/>
                      <w:marTop w:val="0"/>
                      <w:marBottom w:val="0"/>
                      <w:divBdr>
                        <w:top w:val="none" w:sz="0" w:space="0" w:color="auto"/>
                        <w:left w:val="none" w:sz="0" w:space="0" w:color="auto"/>
                        <w:bottom w:val="none" w:sz="0" w:space="0" w:color="auto"/>
                        <w:right w:val="none" w:sz="0" w:space="0" w:color="auto"/>
                      </w:divBdr>
                      <w:divsChild>
                        <w:div w:id="1416123692">
                          <w:marLeft w:val="0"/>
                          <w:marRight w:val="0"/>
                          <w:marTop w:val="0"/>
                          <w:marBottom w:val="0"/>
                          <w:divBdr>
                            <w:top w:val="none" w:sz="0" w:space="0" w:color="auto"/>
                            <w:left w:val="none" w:sz="0" w:space="0" w:color="auto"/>
                            <w:bottom w:val="none" w:sz="0" w:space="0" w:color="auto"/>
                            <w:right w:val="none" w:sz="0" w:space="0" w:color="auto"/>
                          </w:divBdr>
                          <w:divsChild>
                            <w:div w:id="575748376">
                              <w:marLeft w:val="0"/>
                              <w:marRight w:val="0"/>
                              <w:marTop w:val="0"/>
                              <w:marBottom w:val="0"/>
                              <w:divBdr>
                                <w:top w:val="none" w:sz="0" w:space="0" w:color="auto"/>
                                <w:left w:val="none" w:sz="0" w:space="0" w:color="auto"/>
                                <w:bottom w:val="none" w:sz="0" w:space="0" w:color="auto"/>
                                <w:right w:val="none" w:sz="0" w:space="0" w:color="auto"/>
                              </w:divBdr>
                              <w:divsChild>
                                <w:div w:id="16944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health.mo.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45CA-3EF8-4B27-8EE3-9F56AD19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cccccc</vt:lpstr>
    </vt:vector>
  </TitlesOfParts>
  <Company>Missouri Department of Health and Senior Services</Company>
  <LinksUpToDate>false</LinksUpToDate>
  <CharactersWithSpaces>3069</CharactersWithSpaces>
  <SharedDoc>false</SharedDoc>
  <HLinks>
    <vt:vector size="6" baseType="variant">
      <vt:variant>
        <vt:i4>393245</vt:i4>
      </vt:variant>
      <vt:variant>
        <vt:i4>0</vt:i4>
      </vt:variant>
      <vt:variant>
        <vt:i4>0</vt:i4>
      </vt:variant>
      <vt:variant>
        <vt:i4>5</vt:i4>
      </vt:variant>
      <vt:variant>
        <vt:lpwstr>http://www.health.mo.gov/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dc:title>
  <dc:creator>Randall, Yvette</dc:creator>
  <cp:lastModifiedBy>Cregger, Tricia</cp:lastModifiedBy>
  <cp:revision>2</cp:revision>
  <cp:lastPrinted>2017-11-02T14:20:00Z</cp:lastPrinted>
  <dcterms:created xsi:type="dcterms:W3CDTF">2021-06-16T17:54:00Z</dcterms:created>
  <dcterms:modified xsi:type="dcterms:W3CDTF">2021-06-16T17:54:00Z</dcterms:modified>
</cp:coreProperties>
</file>